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LuftGerPV1998DV 3 — Allgemeine Vorschriften</w:t>
      </w:r>
    </w:p>
    <w:p>
      <w:r>
        <w:rPr>
          <w:color w:val="555555"/>
          <w:sz w:val="18"/>
        </w:rPr>
        <w:t xml:space="preserve">3. DVLuftGerPV</w:t>
      </w:r>
    </w:p>
    <w:p>
      <w:r>
        <w:rPr>
          <w:color w:val="555555"/>
          <w:sz w:val="18"/>
        </w:rPr>
        <w:t xml:space="preserve">Historische Fassung: Stand 10.06.2019 bis 24.06.2021. Dies ist nicht die aktuelle Fassung.</w:t>
      </w:r>
    </w:p>
    <w:p>
      <w:r>
        <w:t xml:space="preserve">(1) Als Prüfstelle können natürliche oder juristische Personen anerkannt werden, die über ausreichende personelle, technische und organisatorische Voraussetzungen verfügen, um eine ordnungsgemäße Musterprüfung durchzuführen.</w:t>
      </w:r>
    </w:p>
    <w:p>
      <w:r>
        <w:t xml:space="preserve">(2) Die Anerkennung wird vom Luftfahrt-Bundesamt auf Antrag erteilt. Sie wird erteilt, wenn der Antragsteller nachweist, dass er den Anforderungen dieser Verordnung entspricht.</w:t>
      </w:r>
    </w:p>
    <w:p>
      <w:r>
        <w:t xml:space="preserve">(3) Natürliche oder juristische Personen, die mit der Herstellung oder dem Vertrieb von Luftsportgerät befasst sind, können nicht als Prüfstelle anerkannt werden.</w:t>
      </w:r>
    </w:p>
    <w:p>
      <w:r>
        <w:rPr>
          <w:color w:val="555555"/>
          <w:sz w:val="17"/>
        </w:rPr>
        <w:t xml:space="preserve">Zitiervorschlag: § 3 LuftGerPV1998DV 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https://recht.nulegal.eu/gesetze/LuftGerPV1998DV%203/3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