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LuftGerPV1998DV 3 — Begriffsbestimmung</w:t>
      </w:r>
    </w:p>
    <w:p>
      <w:r>
        <w:rPr>
          <w:color w:val="555555"/>
          <w:sz w:val="18"/>
        </w:rPr>
        <w:t xml:space="preserve">3. DVLuftGerPV</w:t>
      </w:r>
    </w:p>
    <w:p>
      <w:r>
        <w:rPr>
          <w:color w:val="555555"/>
          <w:sz w:val="18"/>
        </w:rPr>
        <w:t xml:space="preserve">Historische Fassung: Stand 10.06.2019 bis 24.06.2021. Dies ist nicht die aktuelle Fassung.</w:t>
      </w:r>
    </w:p>
    <w:p>
      <w:r>
        <w:t xml:space="preserve">(1) Musterprüfung im Sinne dieser Verordnung ist die Musterprüfung von Luftsportgerät gemäß § 10 Abs. 1 der Verordnung zur Prüfung von Luftfahrtgerät.</w:t>
      </w:r>
    </w:p>
    <w:p>
      <w:r>
        <w:t xml:space="preserve">(2) Leitung der Prüfstelle ist diejenige Stelle, welche alle mit der Musterprüfung verbundenen Aufgaben zu bearbeiten und zu koordinieren hat.</w:t>
      </w:r>
    </w:p>
    <w:p>
      <w:r>
        <w:t xml:space="preserve">(3) Das Prüfstellenhandbuch beschreibt die Prüfstelle, definiert den Prüfumfang und legt die angewandten Verfahren fest.</w:t>
      </w:r>
    </w:p>
    <w:p>
      <w:r>
        <w:t xml:space="preserve">(4) Lufttüchtigkeitsforderungen sind die in § 1 der Zweiten Durchführungsverordnung zur Verordnung zur Prüfung von Luftfahrtgerät vom 3. Februar 2000 (BAnz. S. 4897) genannten Bauvorschriften.</w:t>
      </w:r>
    </w:p>
    <w:p>
      <w:r>
        <w:rPr>
          <w:color w:val="555555"/>
          <w:sz w:val="17"/>
        </w:rPr>
        <w:t xml:space="preserve">Zitiervorschlag: § 2 LuftGerPV1998DV 3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https://recht.nulegal.eu/gesetze/LuftGerPV1998DV%203/2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