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LuftGerPV1998DV 1 — Instandhaltungsbetriebshandbuch</w:t>
      </w:r>
    </w:p>
    <w:p>
      <w:r>
        <w:rPr>
          <w:color w:val="555555"/>
          <w:sz w:val="18"/>
        </w:rPr>
        <w:t xml:space="preserve">Erste Durchführungsverordnung zur Verordnung zur Prüfung von Luftfahrtgerät</w:t>
      </w:r>
    </w:p>
    <w:p>
      <w:r>
        <w:rPr>
          <w:color w:val="555555"/>
          <w:sz w:val="18"/>
        </w:rPr>
        <w:t xml:space="preserve">Historische Fassung: Stand 10.06.2019 bis 20.11.2020. Dies ist nicht die aktuelle Fassung.</w:t>
      </w:r>
    </w:p>
    <w:p>
      <w:r>
        <w:t xml:space="preserve">(1) Für nach § 13 LuftGerPV genehmigte Betriebe gelten JAR-145.65 und 145.70.</w:t>
      </w:r>
    </w:p>
    <w:p>
      <w:r>
        <w:t xml:space="preserve">(2) Für nach § 18 LuftGerPV genehmigte Betriebe muß das Instandhaltungsbetriebshandbuch unter Berücksichtigung der Anforderungen, die sich aus Art und Umfang der Instandhaltungs-, Änderungs- und Prüfarbeiten ergeben, und unter Berücksichtigung der Arten und Muster des Luftfahrtgeräts, die Gegenstand der Instandhaltung, Änderung und Prüfung sind, neben den Angaben in § 3 mindestens enthalten:</w:t>
      </w:r>
    </w:p>
    <w:p>
      <w:pPr>
        <w:ind w:left="420"/>
      </w:pPr>
      <w:r>
        <w:t xml:space="preserve">1. einen Organisationsplan des Betriebs;</w:t>
      </w:r>
    </w:p>
    <w:p>
      <w:pPr>
        <w:ind w:left="420"/>
      </w:pPr>
      <w:r>
        <w:t xml:space="preserve">2. Festlegung des Aufgaben- und Verantwortungsbereichs für das leitende und technische Personal;</w:t>
      </w:r>
    </w:p>
    <w:p>
      <w:pPr>
        <w:ind w:left="420"/>
      </w:pPr>
      <w:r>
        <w:t xml:space="preserve">3. Beschreibung von Verfahren, soweit angewandt, über</w:t>
      </w:r>
    </w:p>
    <w:p>
      <w:pPr>
        <w:ind w:left="780"/>
      </w:pPr>
      <w:r>
        <w:t xml:space="preserve">a) die Durchführung der Wartungsarbeiten sowie kleiner Reparaturen und kleiner Änderungen;</w:t>
      </w:r>
    </w:p>
    <w:p>
      <w:pPr>
        <w:ind w:left="780"/>
      </w:pPr>
      <w:r>
        <w:t xml:space="preserve">b) die Durchführung der Grund- und Teilüberholungen, der großen Reparaturen und großen Änderungen;</w:t>
      </w:r>
    </w:p>
    <w:p>
      <w:pPr>
        <w:ind w:left="780"/>
      </w:pPr>
      <w:r>
        <w:t xml:space="preserve">c) die Bescheinigung der Prüfungen nach der Verordnung zur Prüfung von Luftfahrtgerät;</w:t>
      </w:r>
    </w:p>
    <w:p>
      <w:pPr>
        <w:ind w:left="780"/>
      </w:pPr>
      <w:r>
        <w:t xml:space="preserve">d) die Führung der Prüfaufzeichnungen;</w:t>
      </w:r>
    </w:p>
    <w:p>
      <w:pPr>
        <w:ind w:left="780"/>
      </w:pPr>
      <w:r>
        <w:t xml:space="preserve">e) Auswertung der Wägungen an Luftfahrzeugen;</w:t>
      </w:r>
    </w:p>
    <w:p>
      <w:pPr>
        <w:ind w:left="780"/>
      </w:pPr>
      <w:r>
        <w:t xml:space="preserve">f) die Lagerhaltung und die Ersatzteilbeschaffung;</w:t>
      </w:r>
    </w:p>
    <w:p>
      <w:pPr>
        <w:ind w:left="780"/>
      </w:pPr>
      <w:r>
        <w:t xml:space="preserve">g) die Vergabe von Arbeiten an andere Stellen;</w:t>
      </w:r>
    </w:p>
    <w:p>
      <w:pPr>
        <w:ind w:left="780"/>
      </w:pPr>
      <w:r>
        <w:t xml:space="preserve">h) vertragliche Beziehungen zu Luftfahrtunternehmen und Herstellern von Luftfahrtgerät;</w:t>
      </w:r>
    </w:p>
    <w:p>
      <w:pPr>
        <w:ind w:left="780"/>
      </w:pPr>
      <w:r>
        <w:t xml:space="preserve">i) die Prüfprogramme und Prüfverfahren;</w:t>
      </w:r>
    </w:p>
    <w:p>
      <w:pPr>
        <w:ind w:left="420"/>
      </w:pPr>
      <w:r>
        <w:t xml:space="preserve">4. Qualitätsmanagement-Verfahren.</w:t>
      </w:r>
    </w:p>
    <w:p>
      <w:r>
        <w:t xml:space="preserve">(3) Das Instandhaltungsbetriebshandbuch und dessen Änderungen müssen vor deren Umsetzung vom Luftfahrt-Bundesamt genehmigt werden.</w:t>
      </w:r>
    </w:p>
    <w:p>
      <w:r>
        <w:rPr>
          <w:color w:val="555555"/>
          <w:sz w:val="17"/>
        </w:rPr>
        <w:t xml:space="preserve">Zitiervorschlag: § 9 LuftGerPV1998DV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