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LuftGerPV1998DV 1 — Anzeigepflicht</w:t>
      </w:r>
    </w:p>
    <w:p>
      <w:r>
        <w:rPr>
          <w:color w:val="555555"/>
          <w:sz w:val="18"/>
        </w:rPr>
        <w:t xml:space="preserve">Erste Durchführungsverordnung zur Verordnung zur Prüfung von Luftfahrtgerät</w:t>
      </w:r>
    </w:p>
    <w:p>
      <w:r>
        <w:rPr>
          <w:color w:val="555555"/>
          <w:sz w:val="18"/>
        </w:rPr>
        <w:t xml:space="preserve">Historische Fassung: Stand 10.06.2019 bis 20.11.2020. Dies ist nicht die aktuelle Fassung.</w:t>
      </w:r>
    </w:p>
    <w:p>
      <w:r>
        <w:t xml:space="preserve">(1) Genehmigte Betriebe müssen dem Luftfahrt-Bundesamt folgende Änderungen vor deren Umsetzung anzeigen:</w:t>
      </w:r>
    </w:p>
    <w:p>
      <w:pPr>
        <w:ind w:left="420"/>
      </w:pPr>
      <w:r>
        <w:t xml:space="preserve">1. den Namen des Betriebs,</w:t>
      </w:r>
    </w:p>
    <w:p>
      <w:pPr>
        <w:ind w:left="420"/>
      </w:pPr>
      <w:r>
        <w:t xml:space="preserve">2. den Standort des Betriebs,</w:t>
      </w:r>
    </w:p>
    <w:p>
      <w:pPr>
        <w:ind w:left="420"/>
      </w:pPr>
      <w:r>
        <w:t xml:space="preserve">3. die weiteren Standorte des Betriebs,</w:t>
      </w:r>
    </w:p>
    <w:p>
      <w:pPr>
        <w:ind w:left="420"/>
      </w:pPr>
      <w:r>
        <w:t xml:space="preserve">4. den verantwortlichen Geschäftsführer,</w:t>
      </w:r>
    </w:p>
    <w:p>
      <w:pPr>
        <w:ind w:left="420"/>
      </w:pPr>
      <w:r>
        <w:t xml:space="preserve">5. das leitende technische Personal,</w:t>
      </w:r>
    </w:p>
    <w:p>
      <w:pPr>
        <w:ind w:left="420"/>
      </w:pPr>
      <w:r>
        <w:t xml:space="preserve">6. Betriebsstätten, Ausrüstungen, Werkzeuge, Materialien, Verfahren, Arbeiten, Prüfpersonal und freigabeberechtigtes Personal, soweit für die Genehmigung von Bedeutung.</w:t>
      </w:r>
    </w:p>
    <w:p>
      <w:r>
        <w:t xml:space="preserve">(2) Das Luftfahrt-Bundesamt kann die Voraussetzungen festlegen, unter denen der genehmigte Betrieb während solcher Änderungen weiterarbeiten darf, oder das Ruhen der Genehmigung anordnen.</w:t>
      </w:r>
    </w:p>
    <w:p>
      <w:r>
        <w:t xml:space="preserve">(3) Der genehmigte Betrieb muß dem Luftfahrt-Bundesamt alle durch ihn am Luftfahrzeug oder an einem Luftfahrzeugbauteil festgestellten Zustände anzeigen, die die Lufttüchtigkeit beeinträchtigen könnten.</w:t>
      </w:r>
    </w:p>
    <w:p>
      <w:r>
        <w:t xml:space="preserve">(4) Die Anzeige über nicht lufttüchtige Zustände muß unverzüglich erfolgen, spätestens innerhalb von drei Tagen nach deren Feststellung durch den genehmigten Betrieb.</w:t>
      </w:r>
    </w:p>
    <w:p>
      <w:r>
        <w:t xml:space="preserve">(5) Der Inhaber der Genehmigung ist verpflichtet, dem Luftfahrt-Bundesamt folgende Arbeiten vor Beginn rechtzeitig anzuzeigen:</w:t>
      </w:r>
    </w:p>
    <w:p>
      <w:pPr>
        <w:ind w:left="420"/>
      </w:pPr>
      <w:r>
        <w:t xml:space="preserve">1. Prüfungen zum Zwecke der Verkehrszulassung nach § 8 Abs. 2 Nr. 2 der Luftverkehrs-Zulassungs-Ordnung (LuftVZO) sowie</w:t>
      </w:r>
    </w:p>
    <w:p>
      <w:pPr>
        <w:ind w:left="420"/>
      </w:pPr>
      <w:r>
        <w:t xml:space="preserve">2. Prüfungen zum Zwecke der Ausstellung eines Lufttüchtigkeitszeugnisses für die Ausfuhr nach § 13 LuftVZO.</w:t>
      </w:r>
    </w:p>
    <w:p>
      <w:r>
        <w:t xml:space="preserve">(6) Der Inhaber der Genehmigung ist verpflichtet, beim Luftfahrt-Bundesamt folgende Arbeiten, die nicht in den dafür genehmigten Betriebsstätten durchgeführt werden, vor deren Beginn rechtzeitig zu beantragen:</w:t>
      </w:r>
    </w:p>
    <w:p>
      <w:pPr>
        <w:ind w:left="420"/>
      </w:pPr>
      <w:r>
        <w:t xml:space="preserve">1. Instandhaltungsprüfungen nach § 11 Abs. 2 LuftGerPV</w:t>
      </w:r>
    </w:p>
    <w:p>
      <w:pPr>
        <w:ind w:left="420"/>
      </w:pPr>
      <w:r>
        <w:t xml:space="preserve">2. Nachprüfungen in Zeitabständen nach § 15 LuftGerPV,</w:t>
      </w:r>
    </w:p>
    <w:p>
      <w:pPr>
        <w:ind w:left="420"/>
      </w:pPr>
      <w:r>
        <w:t xml:space="preserve">3. Nachprüfungen bei der Instandhaltung und der Änderung nach § 16 Abs. 2 LuftGerPV,</w:t>
      </w:r>
    </w:p>
    <w:p>
      <w:pPr>
        <w:ind w:left="420"/>
      </w:pPr>
      <w:r>
        <w:t xml:space="preserve">4. Nachprüfungen auf Anordnung der zuständigen Stellen nach § 17 LuftGerPV,</w:t>
      </w:r>
    </w:p>
    <w:p>
      <w:pPr>
        <w:ind w:left="420"/>
      </w:pPr>
      <w:r>
        <w:t xml:space="preserve">5. Prüfungen zum Zwecke der Verkehrszulassung nach § 8 Abs. 2 Nr. 2 LuftVZO sowie</w:t>
      </w:r>
    </w:p>
    <w:p>
      <w:pPr>
        <w:ind w:left="420"/>
      </w:pPr>
      <w:r>
        <w:t xml:space="preserve">6. Prüfungen zum Zwecke der Ausstellung eines Lufttüchtigkeitszeugnisses für die Ausfuhr nach § 13 LuftVZO.</w:t>
      </w:r>
    </w:p>
    <w:p>
      <w:r>
        <w:t xml:space="preserve">(7) Die Anzeigen müssen auf einem Formular und in einer vom Luftfahrt-Bundesamt vorgeschriebenen Weise erfolgen und alle sachdienlichen Informationen über den Zustand enthalten, die dem genehmigten Betrieb bekannt sind.</w:t>
      </w:r>
    </w:p>
    <w:p>
      <w:r>
        <w:rPr>
          <w:color w:val="555555"/>
          <w:sz w:val="17"/>
        </w:rPr>
        <w:t xml:space="preserve">Zitiervorschlag: § 4 LuftGerPV1998DV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