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LuftGerPV1998DV 1 — Umfang und Inhalt der Genehmigung</w:t>
      </w:r>
    </w:p>
    <w:p>
      <w:r>
        <w:rPr>
          <w:color w:val="555555"/>
          <w:sz w:val="18"/>
        </w:rPr>
        <w:t xml:space="preserve">Erste Durchführungsverordnung zur Verordnung zur Prüfung von Luftfahrtgerät</w:t>
      </w:r>
    </w:p>
    <w:p>
      <w:r>
        <w:rPr>
          <w:color w:val="555555"/>
          <w:sz w:val="18"/>
        </w:rPr>
        <w:t xml:space="preserve">Historische Fassung: Stand 10.06.2019 bis 20.11.2020. Dies ist nicht die aktuelle Fassung.</w:t>
      </w:r>
    </w:p>
    <w:p>
      <w:r>
        <w:t xml:space="preserve">(1) Für nach § 13 LuftGerPV genehmigte Betriebe sind § 18 Abs. 2 bis 4 sowie § 19 Abs. 5 LuftGerPV anzuwenden.</w:t>
      </w:r>
    </w:p>
    <w:p>
      <w:r>
        <w:t xml:space="preserve">(2) Die Instandhaltung, Änderung und Prüfung von Luftfahrtgerät ist nur in den hierfür genehmigten Betriebsstätten zulässig. Die Instandhaltung gemäß JAR-145.75 (c) bleibt hiervon unberührt.</w:t>
      </w:r>
    </w:p>
    <w:p>
      <w:r>
        <w:rPr>
          <w:color w:val="555555"/>
          <w:sz w:val="17"/>
        </w:rPr>
        <w:t xml:space="preserve">Zitiervorschlag: § 2 LuftGerPV1998DV 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https://recht.nulegal.eu/gesetze/LuftGerPV1998DV%201/2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