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LuftGerPV1998DV 1 — Inkrafttreten</w:t>
      </w:r>
    </w:p>
    <w:p>
      <w:r>
        <w:rPr>
          <w:color w:val="555555"/>
          <w:sz w:val="18"/>
        </w:rPr>
        <w:t xml:space="preserve">Erste Durchführungsverordnung zur Verordnung zur Prüfung von Luftfahrtgerät</w:t>
      </w:r>
    </w:p>
    <w:p>
      <w:r>
        <w:rPr>
          <w:color w:val="555555"/>
          <w:sz w:val="18"/>
        </w:rPr>
        <w:t xml:space="preserve">Historische Fassung: Stand 10.06.2019 bis 20.11.2020. Dies ist nicht die aktuelle Fassung.</w:t>
      </w:r>
    </w:p>
    <w:p>
      <w:r>
        <w:t xml:space="preserve">Die Verordnung tritt am Tage nach der Verkündung in Kraft.</w:t>
      </w:r>
    </w:p>
    <w:p>
      <w:r>
        <w:rPr>
          <w:color w:val="555555"/>
          <w:sz w:val="17"/>
        </w:rPr>
        <w:t xml:space="preserve">Zitiervorschlag: § 14 LuftGerPV1998DV 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https://recht.nulegal.eu/gesetze/LuftGerPV1998DV%201/14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