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LuftGerPV1998DV 1 — Anerkennung der Instandhaltungsnachweise anderer Stellen</w:t>
      </w:r>
    </w:p>
    <w:p>
      <w:r>
        <w:rPr>
          <w:color w:val="555555"/>
          <w:sz w:val="18"/>
        </w:rPr>
        <w:t xml:space="preserve">Erste Durchführungsverordnung zur Verordnung zur Prüfung von Luftfahrtgerät</w:t>
      </w:r>
    </w:p>
    <w:p>
      <w:r>
        <w:rPr>
          <w:color w:val="555555"/>
          <w:sz w:val="18"/>
        </w:rPr>
        <w:t xml:space="preserve">Historische Fassung: Stand 10.06.2019 bis 20.11.2020. Dies ist nicht die aktuelle Fassung.</w:t>
      </w:r>
    </w:p>
    <w:p>
      <w:r>
        <w:t xml:space="preserve">Die Instandhaltung und Prüfung von gewerblich verwendeten Flugzeugen, Drehflüglern und Luftschiffen, für die die Anerkennung der Instandhaltungsnachweise anderer Stellen gemäß § 6 LuftGerPV beantragt wird, muß in gemäß JAR-145 genehmigten Instandhaltungsbetrieben durchgeführt werden.</w:t>
      </w:r>
    </w:p>
    <w:p>
      <w:r>
        <w:rPr>
          <w:color w:val="555555"/>
          <w:sz w:val="17"/>
        </w:rPr>
        <w:t xml:space="preserve">Zitiervorschlag: § 11 LuftGerPV1998DV 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https://recht.nulegal.eu/gesetze/LuftGerPV1998DV%201/11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