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LuftGerPV1998DV 1 — Geltungsbereich</w:t>
      </w:r>
    </w:p>
    <w:p>
      <w:r>
        <w:rPr>
          <w:color w:val="555555"/>
          <w:sz w:val="18"/>
        </w:rPr>
        <w:t xml:space="preserve">Erste Durchführungsverordnung zur Verordnung zur Prüfung von Luftfahrtgerät</w:t>
      </w:r>
    </w:p>
    <w:p>
      <w:r>
        <w:rPr>
          <w:color w:val="555555"/>
          <w:sz w:val="18"/>
        </w:rPr>
        <w:t xml:space="preserve">Historische Fassung: Stand 10.06.2019 bis 20.11.2020. Dies ist nicht die aktuelle Fassung.</w:t>
      </w:r>
    </w:p>
    <w:p>
      <w:r>
        <w:t xml:space="preserve">Diese Verordnung gilt für Stellen, die Luftfahrtgerät instandhalten, ändern oder prüfen. Sie gilt nicht für Stellen, die Luftsportgerät instandhalten, ändern oder prüfen.</w:t>
      </w:r>
    </w:p>
    <w:p>
      <w:r>
        <w:rPr>
          <w:color w:val="555555"/>
          <w:sz w:val="17"/>
        </w:rPr>
        <w:t xml:space="preserve">Zitiervorschlag: § 1 LuftGerPV1998DV 1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https://recht.nulegal.eu/gesetze/LuftGerPV1998DV%201/1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