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LuftGerPV 2013 — Behebung von Mängeln des Musters</w:t>
      </w:r>
    </w:p>
    <w:p>
      <w:r>
        <w:rPr>
          <w:color w:val="555555"/>
          <w:sz w:val="18"/>
        </w:rPr>
        <w:t xml:space="preserve">Verordnung zur Prüfung von Luftfahrtgerät</w:t>
      </w:r>
    </w:p>
    <w:p>
      <w:r>
        <w:rPr>
          <w:color w:val="555555"/>
          <w:sz w:val="18"/>
        </w:rPr>
        <w:t xml:space="preserve">Stand: 25.01.2022 (konsolidierte Textfassung, kein amtliches Inkrafttretensdatum)</w:t>
      </w:r>
    </w:p>
    <w:p>
      <w:r>
        <w:t xml:space="preserve">(1) Werden beim Betrieb des zugelassenen Luftfahrtgeräts Mängel des Musters festgestellt, welche die Lufttüchtigkeit beeinträchtigen, ordnet die nach § 2 Absatz 1 zuständige Stelle die zur Aufrechterhaltung der Lufttüchtigkeit notwendigen Maßnahmen an.</w:t>
      </w:r>
    </w:p>
    <w:p>
      <w:r>
        <w:t xml:space="preserve">(2) Zur Behebung von Mängeln des dem Muster nachgebauten und bereits zum Verkehr zugelassenen Luftfahrtgeräts hat der Betrieb, welcher zur Durchführung der Musterprüfung genehmigt ist, technische Unterlagen zu erstellen und den Haltern des Luftfahrtgeräts und den Organisationen, denen nach § 2 Absatz 2 eine Genehmigung erteilt worden ist, und den Personen, denen nach § 2 Absatz 2 eine Erlaubnis erteilt worden ist, auf Verlangen zu übersenden.</w:t>
      </w:r>
    </w:p>
    <w:p>
      <w:r>
        <w:rPr>
          <w:color w:val="555555"/>
          <w:sz w:val="17"/>
        </w:rPr>
        <w:t xml:space="preserve">Zitiervorschlag: § 8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