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LuftGerPV 2013 — Übergangsbestimmungen</w:t>
      </w:r>
    </w:p>
    <w:p>
      <w:r>
        <w:rPr>
          <w:color w:val="555555"/>
          <w:sz w:val="18"/>
        </w:rPr>
        <w:t xml:space="preserve">Verordnung zur Prüfung von Luftfahrtgerät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Bisherige Zulassungen, Genehmigungen und Anerkennungen, die nach der Verordnung zur Prüfung von Luftfahrtgerät vom 3. August 1998 (BGBl. I S. 2010, 2011) in der am 1. September 2012 geltenden Fassung erteilt worden sind, bleiben weiterhin gültig. Bestehende Zulassungen, Genehmigungen und Anerkennungen mit zeitlichen Befristungen bleiben bis zum Ablauf der Befristung gültig.</w:t>
      </w:r>
    </w:p>
    <w:p>
      <w:r>
        <w:rPr>
          <w:color w:val="555555"/>
          <w:sz w:val="17"/>
        </w:rPr>
        <w:t xml:space="preserve">Zitiervorschlag: § 17 LuftGerPV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https://recht.nulegal.eu/gesetze/LuftGerPV%202013/17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