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LuftGerPV 2013 — Maßnahmen zur Aufrechterhaltung der Lufttüchtigkeit</w:t>
      </w:r>
    </w:p>
    <w:p>
      <w:r>
        <w:rPr>
          <w:color w:val="555555"/>
          <w:sz w:val="18"/>
        </w:rPr>
        <w:t xml:space="preserve">Verordnung zur Prüfung von Luftfahrtgerät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Maßnahmen zur Aufrechterhaltung der Lufttüchtigkeit des Luftfahrtgeräts nach § 1 Absatz 1 Nummer 1 bis 6 und 9 bis 11 der Luftverkehrs-Zulassungs-Ordnung werden entsprechend den Bestimmungen der Verordnung (EU) Nr. 1321/2014 durchgeführt. Der Halter des Luftfahrtgeräts ist für die rechtzeitige und vollständige Durchführung aller erforderlichen Maßnahmen nach Anhang I, M.A.201(a) oder Anhang Vb, ML.A.201(a) verantwortlich.</w:t>
      </w:r>
    </w:p>
    <w:p>
      <w:r>
        <w:t xml:space="preserve">(2) Instandhaltungsmaßnahmen zur Aufrechterhaltung der Lufttüchtigkeit des Luftfahrtgeräts nach § 1 Absatz 1 Nummer 7 und 8 der Luftverkehrs-Zulassungs-Ordnung richten sich nach § 13.</w:t>
      </w:r>
    </w:p>
    <w:p>
      <w:r>
        <w:t xml:space="preserve">(3) Für Luftfahrtgerät nach Absatz 1 gelten die vom Inhaber der Musterzulassung oder die im Rahmen einer Einzelstückprüfung herausgegebenen Instandhaltungsunterlagen als Instandhaltungsprogramm im Sinne der Verordnung (EU) Nr. 1321/2014. Satz 1 ist nicht anzuwenden auf gewerblich betriebene Luftfahrzeuge. Bei geringfügigen Änderungen und Reparaturen im Sinne der Verordnung (EU) Nr. 748/2012 ist keine Genehmigung der Unterlagen erforderlich; es reicht der Nachweis der Akzeptanz durch den Inhaber der Musterzulassung oder die zuständige Stelle. An die Stelle der Europäischen Agentur für Flugsicherheit tritt die zuständige Stelle gemäß § 2.</w:t>
      </w:r>
    </w:p>
    <w:p>
      <w:r>
        <w:t xml:space="preserve">(4) Die zuständige Stelle kann in begründeten Fällen Ausnahmen von Absatz 1 zulassen, Zeitabstände für Instandhaltungsmaßnahmen verlängern und Entwicklungs- oder Herstellungsbetriebe zur Durchführung bestimmter Instandhaltungsmaßnahmen ermächtigen.</w:t>
      </w:r>
    </w:p>
    <w:p>
      <w:r>
        <w:rPr>
          <w:color w:val="555555"/>
          <w:sz w:val="17"/>
        </w:rPr>
        <w:t xml:space="preserve">Zitiervorschlag: § 12 LuftGerPV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https://recht.nulegal.eu/gesetze/LuftGerPV%202013/12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