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LuftGerPV 2013 — Nicht musterzulassungspflichtiges Luftsportgerät</w:t>
      </w:r>
    </w:p>
    <w:p>
      <w:r>
        <w:rPr>
          <w:color w:val="555555"/>
          <w:sz w:val="18"/>
        </w:rPr>
        <w:t xml:space="preserve">Verordnung zur Prüfung von Luftfahrtgerät</w:t>
      </w:r>
    </w:p>
    <w:p>
      <w:r>
        <w:rPr>
          <w:color w:val="555555"/>
          <w:sz w:val="18"/>
        </w:rPr>
        <w:t xml:space="preserve">Stand: 10.06.2019 (konsolidierte Textfassung, kein amtliches Inkrafttretensdatum)</w:t>
      </w:r>
    </w:p>
    <w:p>
      <w:r>
        <w:t xml:space="preserve">(1) Bei Luftsportgerät nach § 1 Absatz 4 Nummer 1 der Luftverkehrs-Zulassungs-Ordnung hat der Hersteller vor der Auslieferung an den Kunden eine Prüfung, ob das Muster mit den anwendbaren Lufttüchtigkeitsforderungen übereinstimmt, in einer Inspektionsstelle oder einer Prüfstelle durchführen und die Übereinstimmung bescheinigen zu lassen, die akkreditiert ist nach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13.8.2008,S. 30) gemäß ISO/IEC 17020 oder ISO/IEC 17025 Standard. Bei Luftfahrtgerät mit einem Motor ist hierbei auch die Einhaltung der Lärmemissionsgrenzwerte zu prüfen.</w:t>
      </w:r>
    </w:p>
    <w:p>
      <w:r>
        <w:t xml:space="preserve">(2) Die Stückprüfung hat der Hersteller vor Auslieferung des Luftfahrtgeräts an den Kunden entsprechend § 10 Absatz 3 Satz 1 durchzuführen. Er hat dem Halter die Betriebsanweisungen bei Auslieferung des Luftfahrtgeräts sowie die zur Mängelbehebung erforderlichen Anweisungen spätestens fünf Tage nach Feststellung des Mangels zur Verfügung zu stellen.</w:t>
      </w:r>
    </w:p>
    <w:p>
      <w:r>
        <w:t xml:space="preserve">(3) Als Hersteller gilt auch, wer Luftfahrtgerät nach Absatz 1 in die Bundesrepublik Deutschland einführt.</w:t>
      </w:r>
    </w:p>
    <w:p>
      <w:r>
        <w:t xml:space="preserve">(4) Muster- oder Gerätezulassungen eines Mitgliedstaates der Europäischen Union oder eines Vertragsstaates des Abkommens über den Europäischen Wirtschaftsraum sind unmittelbar gültig und ersetzen die Prüfungen nach den Absätzen 1 und 2.</w:t>
      </w:r>
    </w:p>
    <w:p>
      <w:r>
        <w:rPr>
          <w:color w:val="555555"/>
          <w:sz w:val="17"/>
        </w:rPr>
        <w:t xml:space="preserve">Zitiervorschlag: § 11 LuftGerPV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https://recht.nulegal.eu/gesetze/LuftGerPV%202013/11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