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99 LuftFzgG</w:t>
      </w:r>
    </w:p>
    <w:p>
      <w:r>
        <w:rPr>
          <w:color w:val="555555"/>
          <w:sz w:val="18"/>
        </w:rPr>
        <w:t xml:space="preserve">Gesetz über Rechte an Luftfahrzeugen</w:t>
      </w:r>
    </w:p>
    <w:p>
      <w:r>
        <w:rPr>
          <w:color w:val="555555"/>
          <w:sz w:val="18"/>
        </w:rPr>
        <w:t xml:space="preserve">Stand: 10.06.2019 (konsolidierte Textfassung, kein amtliches Inkrafttretensdatum)</w:t>
      </w:r>
    </w:p>
    <w:p>
      <w:r>
        <w:t xml:space="preserve">(1) Die Vorschriften in §§ 58, 266, 325 Abs. 4, §§ 592, 720a, 787, 794 Abs. 1 Nr. 5, §§ 800a, 830a, 837a, 847a, 855a, 864, 865, 870a, ausgenommen dessen Absatz 3 Satz 1 zweiter Halbsatz, und in §§ 895, 938, 941 der Zivilprozeßordnung gelten sinngemäß mit der Maßgabe, daß an die Stelle des eingetragenen Schiffes das in der Luftfahrzeugrolle eingetragene Luftfahrzeug und an die Stelle der Schiffshypothek das Registerpfandrecht an einem Luftfahrzeug tritt; § 98 Abs. 2 Satz 2 gilt auch hierbei. Die Zwangsvollstreckung in das Luftfahrzeug umfaßt nicht Ersatzteile, auf die sich ein Registerpfandrecht an dem Luftfahrzeug nach § 71 erstreckt.</w:t>
      </w:r>
    </w:p>
    <w:p>
      <w:r>
        <w:t xml:space="preserve">(2) Die Vollziehung des Arrestes in ein Luftfahrzeug, das in der Luftfahrzeugrolle oder im Register für Pfandrechte an Luftfahrzeugen eingetragen ist, wird dadurch bewirkt, daß der Gerichtsvollzieher das Luftfahrzeug in Bewachung und Verwahrung nimmt und ein Registerpfandrecht für die Forderung eingetragen wird; die Bewachung und Verwahrung unterbleibt, soweit nach den Vorschriften des Gesetzes über die Unzulässigkeit der Sicherungsbeschlagnahme von Luftfahrzeugen in der im Bundesgesetzblatt Teil III, Gliederungsnummer 310-12, veröffentlichten bereinigten Fassung eine Pfändung unzulässig ist. In der Eintragung des Registerpfandrechts ist der nach § 923 der Zivilprozeßordnung festgestellte Geldbetrag als Höchstbetrag zu bezeichnen, für den das Luftfahrzeug haftet. Im übrigen gelten die Vorschriften des § 867 Abs. 1 und 2 und des § 870a Abs. 3 Satz 1 erster Halbsatz, Satz 2 der Zivilprozeßordnung sinngemäß. Der Antrag auf Eintragung des Registerpfandrechts gilt im Sinne des § 929 Abs. 2, 3 der Zivilprozeßordnung als Vollziehung des Arrestbefehls.</w:t>
      </w:r>
    </w:p>
    <w:p>
      <w:r>
        <w:t xml:space="preserve">(3) § 942 Abs. 2 Satz 1 der Zivilprozeßordnung ist mit der Maßgabe sinngemäß anzuwenden, daß die einstweilige Verfügung von dem Amtsgericht erlassen werden kann, in dessen Bezirk das Luftfahrt-Bundesamt seinen Sitz hat.</w:t>
      </w:r>
    </w:p>
    <w:p>
      <w:r>
        <w:rPr>
          <w:color w:val="555555"/>
          <w:sz w:val="17"/>
        </w:rPr>
        <w:t xml:space="preserve">Zitiervorschlag: § 99 LuftFzgG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https://recht.nulegal.eu/gesetze/LuftFzgG/99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