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des Ersatzteillagers kann von Amts wegen gelöscht werden, wenn alle anderen Eintragungen in dem Registerblatt gelöscht sind.</w:t>
      </w:r>
    </w:p>
    <w:p>
      <w:r>
        <w:t xml:space="preserve">(2) Wird die Eintragung des Ersatzteillagers gelöscht, so soll das Registergericht dies demjenigen bekanntmachen, der bei der letzten Eintragung der Erweiterung eines Registerpfandrechts als Eigentümer des belasteten Luftfahrzeugs eingetragen war.</w:t>
      </w:r>
    </w:p>
    <w:p>
      <w:r>
        <w:rPr>
          <w:color w:val="555555"/>
          <w:sz w:val="17"/>
        </w:rPr>
        <w:t xml:space="preserve">Zitiervorschlag: § 94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