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des Luftfahrzeugs im Register wird auf Antrag des als Eigentümer Eingetragenen oder seines Rechtsnachfolgers gelöscht, wenn alle Eintragungen gelöscht sind, die nicht die in § 81 Abs. 2 bezeichneten Angaben sowie die Löschung der Eintragung des Luftfahrzeugs in der Luftfahrzeugrolle betreffen.</w:t>
      </w:r>
    </w:p>
    <w:p>
      <w:r>
        <w:t xml:space="preserve">(2) Wird die Eintragung des Luftfahrzeugs im Register gelöscht, so soll das Registergericht dies dem Luftfahrt-Bundesamt und dem als Eigentümer des Luftfahrzeugs Eingetragenen bekanntmachen.</w:t>
      </w:r>
    </w:p>
    <w:p>
      <w:r>
        <w:rPr>
          <w:color w:val="555555"/>
          <w:sz w:val="17"/>
        </w:rPr>
        <w:t xml:space="preserve">Zitiervorschlag: § 93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