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92 LuftFzgG</w:t>
      </w:r>
    </w:p>
    <w:p>
      <w:r>
        <w:rPr>
          <w:color w:val="555555"/>
          <w:sz w:val="18"/>
        </w:rPr>
        <w:t xml:space="preserve">Gesetz über Rechte an Luftfahrzeugen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Wird ein im Register eingetragenes Luftfahrzeug, das in der Luftfahrzeugrolle gelöscht ist, erneut in die Luftfahrzeugrolle eingetragen, so hat das Luftfahrt-Bundesamt das Registergericht zu ersuchen, die auf Grund des Ersuchens nach § 91 vorgenommene Eintragung zu löschen. § 90 gilt sinngemäß.</w:t>
      </w:r>
    </w:p>
    <w:p>
      <w:r>
        <w:rPr>
          <w:color w:val="555555"/>
          <w:sz w:val="17"/>
        </w:rPr>
        <w:t xml:space="preserve">Zitiervorschlag: § 92 LuftFzgG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https://recht.nulegal.eu/gesetze/LuftFzgG/92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