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nach der Eintragung des Luftfahrzeugs in das Register Eintragungen in der Luftfahrzeugrolle geändert, welche die in § 80 Abs. 1 bezeichneten Angaben betreffen, so hat das Luftfahrt-Bundesamt das Registergericht zu ersuchen, die entsprechenden Angaben in der Eintragung des Luftfahrzeugs im Register zu berichtigen.</w:t>
      </w:r>
    </w:p>
    <w:p>
      <w:r>
        <w:t xml:space="preserve">(2) Betrifft das Ersuchen die Berichtigung durch Eintragung eines anderen Eigentümers, so gilt § 82 Abs. 1 sinngemäß, wenn nicht der als Eigentümer im Register Eingetragene der Berichtigung zustimmt.</w:t>
      </w:r>
    </w:p>
    <w:p>
      <w:r>
        <w:rPr>
          <w:color w:val="555555"/>
          <w:sz w:val="17"/>
        </w:rPr>
        <w:t xml:space="preserve">Zitiervorschlag: § 90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