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 der Luftfahrzeugrolle eingetragenes Luftfahrzeug kann nicht in anderer Weise mit einem Recht belastet werden, als in diesem Gesetz vorgesehen ist. § 647 des Bürgerlichen Gesetzbuchs ist nicht anzuwenden.</w:t>
      </w:r>
    </w:p>
    <w:p>
      <w:r>
        <w:t xml:space="preserve">(2) Das gleiche gilt, wenn das Luftfahrzeug in der Luftfahrzeugrolle gelöscht, aber im Register für Pfandrechte an Luftfahrzeugen noch eingetragen ist.</w:t>
      </w:r>
    </w:p>
    <w:p>
      <w:r>
        <w:rPr>
          <w:color w:val="555555"/>
          <w:sz w:val="17"/>
        </w:rPr>
        <w:t xml:space="preserve">Zitiervorschlag: § 9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