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LuftFzgG</w:t>
      </w:r>
    </w:p>
    <w:p>
      <w:r>
        <w:rPr>
          <w:color w:val="555555"/>
          <w:sz w:val="18"/>
        </w:rPr>
        <w:t xml:space="preserve">Gesetz über Rechte an Luftfahrzeugen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Register ist öffentlich; die Einsicht in das Register ist jedem gestattet. Auf Verlangen ist eine Abschrift der Eintragungen zu erteilen; die Abschrift ist auf Verlangen zu beglaubigen.</w:t>
      </w:r>
    </w:p>
    <w:p>
      <w:r>
        <w:t xml:space="preserve">(2) Das gleiche gilt von Urkunden, auf die im Register zur Ergänzung einer Eintragung Bezug genommen ist.</w:t>
      </w:r>
    </w:p>
    <w:p>
      <w:r>
        <w:t xml:space="preserve">(3) Im übrigen ist die Einsicht in die Registerakten sowie in die noch nicht erledigten Eintragungsanträge nur gestattet, soweit ein berechtigtes Interesse glaubhaft gemacht wird. Absatz 1 Satz 2 gilt sinngemäß.</w:t>
      </w:r>
    </w:p>
    <w:p>
      <w:r>
        <w:rPr>
          <w:color w:val="555555"/>
          <w:sz w:val="17"/>
        </w:rPr>
        <w:t xml:space="preserve">Zitiervorschlag: § 85 LuftFzgG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https://recht.nulegal.eu/gesetze/LuftFzgG/85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