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Registergericht soll die Eintragung des Luftfahrzeugs in das Register dem Luftfahrt-Bundesamt, dem Anmeldenden, dem als Eigentümer Eingetragenen und dem, der nach § 82 Abs. 2 der Eintragung widersprochen hat, bekanntmachen.</w:t>
      </w:r>
    </w:p>
    <w:p>
      <w:r>
        <w:rPr>
          <w:color w:val="555555"/>
          <w:sz w:val="17"/>
        </w:rPr>
        <w:t xml:space="preserve">Zitiervorschlag: § 83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