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Jedes Luftfahrzeug erhält bei der Eintragung eine besondere Stelle (Registerblatt). Das Registerblatt ist für das Luftfahrzeug als das Register für Pfandrechte an Luftfahrzeugen anzusehen.</w:t>
      </w:r>
    </w:p>
    <w:p>
      <w:r>
        <w:t xml:space="preserve">(2) Die Eintragung des Luftfahrzeugs hat die in § 80 Abs. 1 bezeichneten Angaben und den Tag der Eintragung zu enthalten.</w:t>
      </w:r>
    </w:p>
    <w:p>
      <w:r>
        <w:rPr>
          <w:color w:val="555555"/>
          <w:sz w:val="17"/>
        </w:rPr>
        <w:t xml:space="preserve">Zitiervorschlag: § 81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