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Zur Wahrung des Rechts kann für den Berechtigten innerhalb von drei Monaten nach Abschluß der Bergungs- oder Erhaltungsmaßnahmen ein Schutzvermerk in das Register für Pfandrechte an Luftfahrzeugen eingetragen werden.</w:t>
      </w:r>
    </w:p>
    <w:p>
      <w:r>
        <w:t xml:space="preserve">(2) Ist das Recht erloschen oder nicht entstanden oder ist es im Geltungsbereich dieses Gesetzes nicht mehr anzuerkennen, so kann der Eigentümer des Luftfahrzeugs verlangen, daß der, für den der Schutzvermerk eingetragen ist, die Löschung des Vermerks bewilligt. Der gleiche Anspruch steht dem zu, für den ein Recht an dem Luftfahrzeug oder eine Vormerkung in das Register eingetragen ist.</w:t>
      </w:r>
    </w:p>
    <w:p>
      <w:r>
        <w:rPr>
          <w:color w:val="555555"/>
          <w:sz w:val="17"/>
        </w:rPr>
        <w:t xml:space="preserve">Zitiervorschlag: § 77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