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Erstrecken sich nach § 71 mehrere Registerpfandrechte auf dieselben Ersatzteile, so bestimmt sich ihr Rangverhältnis hinsichtlich der Ersatzteile nach der Reihenfolge, in der die Erweiterungen in das Register eingetragen sind. § 25 Abs. 1 Satz 2, Abs. 2 gilt sinngemäß.</w:t>
      </w:r>
    </w:p>
    <w:p>
      <w:r>
        <w:rPr>
          <w:color w:val="555555"/>
          <w:sz w:val="17"/>
        </w:rPr>
        <w:t xml:space="preserve">Zitiervorschlag: § 72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