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Auf Grund der Erweiterung erstreckt sich das Registerpfandrecht auf die zur Zeit der Erweiterung oder später in das Ersatzteillager eingebrachten Ersatzteile. Dies gilt nicht für Ersatzteile, die nicht in das Eigentum des Eigentümers des belasteten Luftfahrzeugs gelangt sind.</w:t>
      </w:r>
    </w:p>
    <w:p>
      <w:r>
        <w:t xml:space="preserve">(2) Ersatzteile werden von der Haftung nach Absatz 1 frei, wenn sie aus dem Ersatzteillager entfernt werden, bevor sie in Beschlag genommen worden sind.</w:t>
      </w:r>
    </w:p>
    <w:p>
      <w:r>
        <w:rPr>
          <w:color w:val="555555"/>
          <w:sz w:val="17"/>
        </w:rPr>
        <w:t xml:space="preserve">Zitiervorschlag: § 71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