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Erweiterung, die Eintragung und das Recht, das sich aus der Erweiterung ergibt, gelten die Vorschriften der §§ 6, 10 bis 23, 26 bis 30, 32 bis 67 sinngemäß.</w:t>
      </w:r>
    </w:p>
    <w:p>
      <w:r>
        <w:t xml:space="preserve">(2) Wird das Registerpfandrecht an dem Luftfahrzeug aufgehoben, so gilt auch das Recht, das sich aus der Erweiterung ergibt, als aufgehoben.</w:t>
      </w:r>
    </w:p>
    <w:p>
      <w:r>
        <w:rPr>
          <w:color w:val="555555"/>
          <w:sz w:val="17"/>
        </w:rPr>
        <w:t xml:space="preserve">Zitiervorschlag: § 70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