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Das Registerpfandrecht an einem in der Luftfahrzeugrolle eingetragenen Luftfahrzeug kann auf die Ersatzteile erweitert werden, die an einer örtlich bezeichneten bestimmten Stelle (Ersatzteillager) im Inland oder im Ausland jeweils lagern. Als Ersatzteile gelten alle zu einem Luftfahrzeug gehörenden Teile, Triebwerke, Luftschrauben, Funkgeräte, Bordinstrumente, Ausrüstungen und Ausstattungsgegenstände sowie Teile dieser Gegenstände, ferner allgemein alle sonstigen Gegenstände irgendwelcher Art, die zum Einbau in ein Luftfahrzeug als Ersatz entfernter Teile bereitgehalten werden.</w:t>
      </w:r>
    </w:p>
    <w:p>
      <w:r>
        <w:t xml:space="preserve">(2) Zu der Erweiterung ist die Einigung des Eigentümers und des Gläubigers sowie die Eintragung der Erweiterung in das Register für Pfandrechte an Luftfahrzeugen erforderlich. § 5 Abs. 2, 3 gilt sinngemäß.</w:t>
      </w:r>
    </w:p>
    <w:p>
      <w:r>
        <w:rPr>
          <w:color w:val="555555"/>
          <w:sz w:val="17"/>
        </w:rPr>
        <w:t xml:space="preserve">Zitiervorschlag: § 68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