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Der unbekannte Gläubiger kann im Wege des Aufgebotsverfahrens mit seinem Recht auch dann ausgeschlossen werden, wenn der Eigentümer zur Befriedigung des Gläubigers oder zur Kündigung berechtigt ist und den Betrag der Forderung für den Gläubiger unter Verzicht auf das Recht zur Rücknahme hinterlegt. Die Hinterlegung von Zinsen ist nur erforderlich, wenn der Zinssatz im Register eingetragen ist; Zinsen für eine frühere Zeit als das vierte Kalenderjahr vor dem Erlaß eines Ausschlußurteils sind nicht zu hinterlegen.</w:t>
      </w:r>
    </w:p>
    <w:p>
      <w:r>
        <w:t xml:space="preserve">(2) Mit der Rechtskraft des Ausschließungsbeschlusses gilt der Gläubiger als befriedigt, sofern nicht nach den Vorschriften des Bürgerlichen Gesetzbuchs über die Hinterlegung die Befriedigung schon vorher eingetreten ist.</w:t>
      </w:r>
    </w:p>
    <w:p>
      <w:r>
        <w:t xml:space="preserve">(3) Das Recht des Gläubigers auf den hinterlegten Betrag erlischt mit dem Ablauf von dreißig Jahren nach der Rechtskraft des Ausschließungsbeschlusses, wenn nicht der Gläubiger sich vorher bei der Hinterlegungsstelle meldet; der Hinterleger ist zur Rücknahme berechtigt, auch wenn er auf das Recht zur Rücknahme verzichtet hat.</w:t>
      </w:r>
    </w:p>
    <w:p>
      <w:r>
        <w:t xml:space="preserve">(4) Für das Aufgebotsverfahren gelten die besonderen Vorschriften in § 448 Abs. 1, §§ 449, 451 des Gesetzes über das Verfahren in Familiensachen und in den Angelegenheiten der freiwilligen Gerichtsbarkeit sinngemäß. Zuständig ist das Gericht, bei dem das Register für Pfandrechte an Luftfahrzeugen geführt wird.</w:t>
      </w:r>
    </w:p>
    <w:p>
      <w:r>
        <w:rPr>
          <w:color w:val="555555"/>
          <w:sz w:val="17"/>
        </w:rPr>
        <w:t xml:space="preserve">Zitiervorschlag: § 67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