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Eine Einrede, die dem Eigentümer auf Grund eines zwischen ihm und dem bisherigen Gläubiger bestehenden Rechtsverhältnisses gegen das Registerpfandrecht zusteht, kann auch dem neuen Gläubiger entgegengesetzt werden. Die Vorschriften der §§ 16, 18 bis 21 über den öffentlichen Glauben des Registers gelten auch für diese Einrede.</w:t>
      </w:r>
    </w:p>
    <w:p>
      <w:r>
        <w:t xml:space="preserve">(2) Soweit die Forderung auf Zinsen oder andere Nebenleistungen gerichtet ist, die nicht später als in dem Kalendervierteljahr, in dem der Eigentümer von der Übertragung Kenntnis erlangt, oder dem folgenden Vierteljahr fällig werden, kann sich der Gläubiger gegenüber den in Absatz 1 bezeichneten Einreden nicht auf § 16 berufen.</w:t>
      </w:r>
    </w:p>
    <w:p>
      <w:r>
        <w:rPr>
          <w:color w:val="555555"/>
          <w:sz w:val="17"/>
        </w:rPr>
        <w:t xml:space="preserve">Zitiervorschlag: § 52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