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LuftFzgG</w:t>
      </w:r>
    </w:p>
    <w:p>
      <w:r>
        <w:rPr>
          <w:color w:val="555555"/>
          <w:sz w:val="18"/>
        </w:rPr>
        <w:t xml:space="preserve">Gesetz über Rechte an Luftfahrzeugen</w:t>
      </w:r>
    </w:p>
    <w:p>
      <w:r>
        <w:rPr>
          <w:color w:val="555555"/>
          <w:sz w:val="18"/>
        </w:rPr>
        <w:t xml:space="preserve">Stand: 10.06.2019 (konsolidierte Textfassung, kein amtliches Inkrafttretensdatum)</w:t>
      </w:r>
    </w:p>
    <w:p>
      <w:r>
        <w:t xml:space="preserve">(1) Verlangt der Gläubiger Befriedigung aus dem Luftfahrzeug, so ist jeder, der Gefahr läuft, durch die Zwangsvollstreckung ein Recht an dem Luftfahrzeug oder an den Gegenständen zu verlieren, auf die sich das Registerpfandrecht erstreckt, berechtigt, den Gläubiger zu befriedigen, und zwar auch durch Hinterlegung oder Aufrechnung. Das gleiche Recht steht dem Besitzer des Luftfahrzeugs oder der in § 31 genannten Sachen zu, wenn er Gefahr läuft, durch die Zwangsvollstreckung den Besitz zu verlieren.</w:t>
      </w:r>
    </w:p>
    <w:p>
      <w:r>
        <w:t xml:space="preserve">(2) Soweit der Dritte den Gläubiger befriedigt, geht die Forderung auf ihn über. Der Übergang kann nicht zum Nachteil des Gläubigers geltend gemacht werden. Einwendungen des Schuldners aus einem zwischen ihm und dem Dritten bestehenden Rechtsverhältnis bleiben unberührt.</w:t>
      </w:r>
    </w:p>
    <w:p>
      <w:r>
        <w:t xml:space="preserve">(3) § 45 gilt sinngemäß.</w:t>
      </w:r>
    </w:p>
    <w:p>
      <w:r>
        <w:rPr>
          <w:color w:val="555555"/>
          <w:sz w:val="17"/>
        </w:rPr>
        <w:t xml:space="preserve">Zitiervorschlag: § 50 LuftFzgG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https://recht.nulegal.eu/gesetze/LuftFzgG/50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