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der Eigentümer nicht der Schuldner, so geht, soweit er den Gläubiger befriedigt, die Forderung auf ihn über; der Übergang kann nicht zum Nachteil des Gläubigers geltend gemacht werden. Einwendungen des Schuldners aus dem zwischen ihm und dem Eigentümer bestehenden Rechtsverhältnis bleiben unberührt.</w:t>
      </w:r>
    </w:p>
    <w:p>
      <w:r>
        <w:t xml:space="preserve">(2) Besteht für die Forderung ein Gesamtregisterpfandrecht, so gelten für dieses die Vorschriften des § 64.</w:t>
      </w:r>
    </w:p>
    <w:p>
      <w:r>
        <w:rPr>
          <w:color w:val="555555"/>
          <w:sz w:val="17"/>
        </w:rPr>
        <w:t xml:space="preserve">Zitiervorschlag: § 44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