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Eigentümer ist berechtigt, den Gläubiger zu befriedigen, wenn die Forderung ihm gegenüber fällig geworden oder wenn der Schuldner zur Leistung berechtigt ist.</w:t>
      </w:r>
    </w:p>
    <w:p>
      <w:r>
        <w:t xml:space="preserve">(2) Der Eigentümer kann den Gläubiger auch durch Hinterlegung oder durch Aufrechnung befriedigen.</w:t>
      </w:r>
    </w:p>
    <w:p>
      <w:r>
        <w:rPr>
          <w:color w:val="555555"/>
          <w:sz w:val="17"/>
        </w:rPr>
        <w:t xml:space="preserve">Zitiervorschlag: § 43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