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42 LuftFzgG</w:t>
      </w:r>
    </w:p>
    <w:p>
      <w:r>
        <w:rPr>
          <w:color w:val="555555"/>
          <w:sz w:val="18"/>
        </w:rPr>
        <w:t xml:space="preserve">Gesetz über Rechte an Luftfahrzeugen</w:t>
      </w:r>
    </w:p>
    <w:p>
      <w:r>
        <w:rPr>
          <w:color w:val="555555"/>
          <w:sz w:val="18"/>
        </w:rPr>
        <w:t xml:space="preserve">Stand: 10.06.2019 (konsolidierte Textfassung, kein amtliches Inkrafttretensdatum)</w:t>
      </w:r>
    </w:p>
    <w:p>
      <w:r>
        <w:t xml:space="preserve">(1) Hängt die Fälligkeit der Forderung von einer Kündigung ab, so ist die Kündigung für das Registerpfandrecht nur wirksam, wenn sie von dem Gläubiger dem Eigentümer oder von dem Eigentümer dem Gläubiger erklärt wird. Zugunsten des Gläubigers gilt als Eigentümer, wer im Register als Eigentümer eingetragen ist.</w:t>
      </w:r>
    </w:p>
    <w:p>
      <w:r>
        <w:t xml:space="preserve">(2) Hat der Eigentümer weder einen Wohnsitz im Inland noch die Bestellung eines inländischen Bevollmächtigten dem Gläubiger angezeigt, so hat das Registergericht ihm auf Antrag des Gläubigers einen Vertreter zu bestellen, dem gegenüber der Gläubiger kündigen kann; das gleiche gilt, wenn sein Aufenthalt unbekannt ist oder der Gläubiger ohne Fahrlässigkeit nicht weiß, wer der Eigentümer ist.</w:t>
      </w:r>
    </w:p>
    <w:p>
      <w:r>
        <w:rPr>
          <w:color w:val="555555"/>
          <w:sz w:val="17"/>
        </w:rPr>
        <w:t xml:space="preserve">Zitiervorschlag: § 42 LuftFzgG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https://recht.nulegal.eu/gesetze/LuftFzgG/42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