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Ist das Luftfahrzeug bei mehreren Versicherern gemeinschaftlich versichert, so genügt die Anmeldung des Registerpfandrechts nach § 34 bei dem Versicherer, den der Eigentümer dem Gläubiger als den führenden Versicherer bezeichnet hat. Dieser ist verpflichtet, die Anmeldung den Mitversicherern mitzuteilen.</w:t>
      </w:r>
    </w:p>
    <w:p>
      <w:r>
        <w:t xml:space="preserve">(2) Für eine Mitteilung nach § 34 genügt, wenn der Gläubiger seine Wohnung geändert, die Änderung aber dem Versicherer nicht angezeigt hat, die Absendung eines eingeschriebenen Briefes nach der letzten dem Versicherer bekannten Wohnung des Gläubigers. Die Mitteilung wird mit dem Zeitpunkt wirksam, in dem sie ohne die Wohnungsänderung bei regelmäßiger Beförderung dem Gläubiger zugegangen sein würde.</w:t>
      </w:r>
    </w:p>
    <w:p>
      <w:r>
        <w:rPr>
          <w:color w:val="555555"/>
          <w:sz w:val="17"/>
        </w:rPr>
        <w:t xml:space="preserve">Zitiervorschlag: § 35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