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Hat der Gläubiger sein Registerpfandrecht bei dem Versicherer angemeldet, so hat dieser dem Gläubiger unverzüglich mitzuteilen, wenn die Prämie nicht rechtzeitig gezahlt ist und aus diesem Grund dem Versicherungsnehmer eine Zahlungsfrist bestimmt wird. Das gleiche gilt, wenn das Versicherungsverhältnis nach dem Ablauf der Frist wegen unterbliebener Prämienzahlung gekündigt wird.</w:t>
      </w:r>
    </w:p>
    <w:p>
      <w:r>
        <w:t xml:space="preserve">(2) Eine Kündigung, ein Rücktritt oder eine sonstige Tatsache, welche die vorzeitige Beendigung des Versicherungsverhältnisses zur Folge hat, wird gegenüber dem Gläubiger, der sein Registerpfandrecht dem Versicherer angemeldet hat, erst mit dem Ablauf von zwei Wochen wirksam, nachdem der Versicherer ihm die Beendigung und, wenn diese noch nicht eingetreten war, den Zeitpunkt der Beendigung mitgeteilt oder der Gläubiger dies in anderer Weise erfahren hat. Dies gilt nicht, wenn das Versicherungsverhältnis wegen nicht rechtzeitiger Prämienzahlung gekündigt oder durch das Insolvenzverfahren über das Vermögen des Versicherers beendet wird.</w:t>
      </w:r>
    </w:p>
    <w:p>
      <w:r>
        <w:t xml:space="preserve">(3) Trifft der Versicherer mit dem Versicherungsnehmer eine Vereinbarung, durch welche die Versicherungssumme oder der Umfang der Gefahr, für die der Versicherer haftet, gemindert wird, so gilt Absatz 2 Satz 1 sinngemäß.</w:t>
      </w:r>
    </w:p>
    <w:p>
      <w:r>
        <w:t xml:space="preserve">(4) Ist der Versicherungsvertrag unwirksam, weil der Versicherungsnehmer ihn in der Absicht geschlossen hat, sich aus einer Überversicherung oder einer Doppelversicherung einen rechtswidrigen Vermögensvorteil zu verschaffen, so kann der Versicherer gegenüber einem Gläubiger, der ihm sein Registerpfandrecht angemeldet hat, die Unwirksamkeit nicht geltend machen. Das Versicherungsverhältnis endet jedoch dem Gläubiger gegenüber mit dem Ablauf von zwei Wochen, nachdem der Versicherer ihm die Unwirksamkeit mitgeteilt oder der Gläubiger sie in anderer Weise erfahren hat.</w:t>
      </w:r>
    </w:p>
    <w:p>
      <w:r>
        <w:rPr>
          <w:color w:val="555555"/>
          <w:sz w:val="17"/>
        </w:rPr>
        <w:t xml:space="preserve">Zitiervorschlag: § 34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