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Hat der Eigentümer oder für seine Rechnung ein anderer für das Luftfahrzeug eine Versicherung genommen, so erstreckt sich das Registerpfandrecht auf die Versicherungsforderung.</w:t>
      </w:r>
    </w:p>
    <w:p>
      <w:r>
        <w:t xml:space="preserve">(2) Die für eine verpfändete Forderung geltenden Vorschriften des bürgerlichen Rechts sind sinngemäß anzuwenden; der Versicherer kann sich nicht darauf berufen, daß er ein aus dem Register ersichtliches Registerpfandrecht nicht gekannt habe. Der Versicherer kann jedoch die Entschädigungssumme mit Wirkung gegen den Gläubiger an den Versicherungsnehmer zahlen, wenn er oder der Versicherungsnehmer den Eintritt des Schadens dem Gläubiger angezeigt hat und seit dem Empfang der Anzeige eine Frist von zwei Wochen verstrichen ist. Die Anzeige darf unterbleiben, wenn sie untunlich ist; in diesem Fall wird die Frist von dem Zeitpunkt an gerechnet, in dem die Entschädigungssumme fällig ist. Der Gläubiger kann bis zum Ablauf der Frist dem Versicherer gegenüber der Zahlung widersprechen.</w:t>
      </w:r>
    </w:p>
    <w:p>
      <w:r>
        <w:rPr>
          <w:color w:val="555555"/>
          <w:sz w:val="17"/>
        </w:rPr>
        <w:t xml:space="preserve">Zitiervorschlag: § 32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