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(1) Bei der Eintragung eines Registerpfandrechts müssen der Gläubiger, der Geldbetrag der Forderung und, wenn die Forderung verzinslich ist, der Zinssatz, wenn andere Nebenleistungen zu entrichten sind, ihr Geldbetrag in das Register eingetragen werden; im Falle des § 3 müssen der Gläubiger und der Höchstbetrag in das Register eingetragen werden. Zur näheren Bezeichnung des Inhalts des Rechts und der Forderung kann auf die Eintragungsbewilligung Bezug genommen werden.</w:t>
      </w:r>
    </w:p>
    <w:p>
      <w:r>
        <w:t xml:space="preserve">(2) Wird das Registerpfandrecht für das Darlehen einer Kreditanstalt eingetragen, deren Satzung von der zuständigen Behörde öffentlich bekanntgemacht worden ist, so genügt zur Bezeichnung der außer den Zinsen satzungsgemäß zu entrichtenden Nebenleistungen die Bezugnahme auf die Satzung.</w:t>
      </w:r>
    </w:p>
    <w:p>
      <w:r>
        <w:rPr>
          <w:color w:val="555555"/>
          <w:sz w:val="17"/>
        </w:rPr>
        <w:t xml:space="preserve">Zitiervorschlag: § 24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