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Steht der Inhalt des Registers, soweit er das Eigentum, ein Registerpfandrecht, ein Recht an einem solchen oder eine Verfügungsbeschränkung der in § 16 Abs. 1 Satz 2 genannten Art betrifft, mit der wirklichen Rechtslage nicht im Einklang, so kann der, dessen Recht nicht oder nicht richtig eingetragen oder durch die Eintragung einer nicht bestehenden Belastung oder Beschränkung beeinträchtigt ist, die Zustimmung zu der Berichtigung des Registers von dem verlangen, dessen Recht durch die Berichtigung betroffen wird.</w:t>
      </w:r>
    </w:p>
    <w:p>
      <w:r>
        <w:t xml:space="preserve">(2) Kann das Register erst berichtigt werden, nachdem das Recht des nach Absatz 1 Verpflichteten eingetragen worden ist, so hat dieser auf Verlangen sein Recht eintragen zu lassen.</w:t>
      </w:r>
    </w:p>
    <w:p>
      <w:r>
        <w:rPr>
          <w:color w:val="555555"/>
          <w:sz w:val="17"/>
        </w:rPr>
        <w:t xml:space="preserve">Zitiervorschlag: § 18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