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Die Vormerkung wird auf Grund einer einstweiligen Verfügung oder auf Grund der Bewilligung dessen eingetragen, dessen Luftfahrzeug oder Recht von der Vormerkung betroffen wird. Für die einstweilige Verfügung braucht eine Gefährdung des zu sichernden Anspruchs nicht glaubhaft gemacht zu werden.</w:t>
      </w:r>
    </w:p>
    <w:p>
      <w:r>
        <w:t xml:space="preserve">(2) Bei der Eintragung kann zur näheren Bezeichnung des zu sichernden Anspruchs auf die einstweilige Verfügung oder die Eintragungsbewilligung Bezug genommen werden.</w:t>
      </w:r>
    </w:p>
    <w:p>
      <w:r>
        <w:rPr>
          <w:color w:val="555555"/>
          <w:sz w:val="17"/>
        </w:rPr>
        <w:t xml:space="preserve">Zitiervorschlag: § 11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