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Es sind sinngemäß anzuwenden</w:t>
      </w:r>
    </w:p>
    <w:p>
      <w:pPr>
        <w:ind w:left="420"/>
      </w:pPr>
      <w:r>
        <w:t xml:space="preserve">1. auf die Zwangsvollstreckung in ausländische Luftfahrzeuge die Vorschriften für Luftfahrzeuge, die in der Luftfahrzeugrolle eingetragen sind,</w:t>
      </w:r>
    </w:p>
    <w:p>
      <w:pPr>
        <w:ind w:left="420"/>
      </w:pPr>
      <w:r>
        <w:t xml:space="preserve">2. auf die Zwangsvollstreckung in Ersatzteile, auf die sich das Recht an einem ausländischen Luftfahrzeug erstreckt, die Vorschriften für Ersatzteile, auf die sich das Registerpfandrecht an einem inländischen Luftfahrzeug nach § 71 erstreckt,</w:t>
      </w:r>
    </w:p>
    <w:p>
      <w:pPr>
        <w:ind w:left="420"/>
      </w:pPr>
      <w:r>
        <w:t xml:space="preserve">3. auf die Zwangsvollstreckung in eine Forderung, für die ein Recht an einem ausländischen Luftfahrzeug besteht, die Vorschriften über die Zwangsvollstreckung in eine Forderung, für die ein Registerpfandrecht im Register für Pfandrechte an Luftfahrzeugen eingetragen ist,</w:t>
      </w:r>
    </w:p>
    <w:p>
      <w:r>
        <w:t xml:space="preserve">soweit sie nicht die Eintragung in der Luftfahrzeugrolle oder im Register für Pfandrechte an Luftfahrzeugen voraussetzen.</w:t>
      </w:r>
    </w:p>
    <w:p>
      <w:r>
        <w:t xml:space="preserve">(2) Die Zwangsvollstreckung durch Eintragung eines Registerpfandrechts für die Forderung ist ausgeschlossen.</w:t>
      </w:r>
    </w:p>
    <w:p>
      <w:r>
        <w:t xml:space="preserve">(3) Bei der Vollziehung des Arrestes in ein ausländisches Luftfahrzeug tritt an die Stelle der Eintragung eines Registerpfandrechts die Pfändung. Die Pfändung begründet ein Pfandrecht an dem gepfändeten Luftfahrzeug; das Recht gewährt dem Gläubiger im Verhältnis zu anderen Rechten dieselben Rechte wie ein Registerpfandrecht.</w:t>
      </w:r>
    </w:p>
    <w:p>
      <w:r>
        <w:t xml:space="preserve">(4) Bei der Zwangsvollstreckung in Ersatzteile, auf die sich ein Recht an einem ausländischen Luftfahrzeug erstreckt, das nach § 103 mit Vorrang anzuerkennen ist, werden bei der Festsetzung des Mindestgebots und bei der Verteilung des Erlöses nur die Rechte berücksichtigt, die in der Bekanntmachung an dem Lagerungsplatz angeführt sind. Rechte, für die eine Berechnung nicht innerhalb der dafür bestimmten Frist eingereicht ist, bleiben unberücksichtigt.</w:t>
      </w:r>
    </w:p>
    <w:p>
      <w:r>
        <w:t xml:space="preserve">(5) Wird über ein Recht im Sinne des § 103 nach der Beschlagnahme verfügt und ist die Verfügung nach Artikel IV des Genfer Abkommens vom 19. Juni 1948 (Bundesgesetzbl. 1959 II S. 129) anzuerkennen, so ist sie dem Gläubiger gegenüber wirksam, es sei denn, daß der Schuldner im Zeitpunkt der Verfügung Kenntnis von der Beschlagnahme hatte.</w:t>
      </w:r>
    </w:p>
    <w:p>
      <w:r>
        <w:rPr>
          <w:color w:val="555555"/>
          <w:sz w:val="17"/>
        </w:rPr>
        <w:t xml:space="preserve">Zitiervorschlag: § 106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