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LuftFzgÜbkDV</w:t>
      </w:r>
    </w:p>
    <w:p>
      <w:r>
        <w:rPr>
          <w:color w:val="555555"/>
          <w:sz w:val="18"/>
        </w:rPr>
        <w:t xml:space="preserve">Verordnung zur Durchführung des Mehrseitigen Übereinkommens vom 22. April 1960 über Lufttüchtigkeitszeugnisse eingeführter Luftfahrzeuge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Übereinkommen nach seinem Artikel 11 Abs. 1 für die Bundesrepublik Deutschland in Kraft tritt.</w:t>
      </w:r>
    </w:p>
    <w:p>
      <w:r>
        <w:t xml:space="preserve">(2) Diese Verordnung tritt an dem Tage außer Kraft, an dem das Übereinkommen für die Bundesrepublik Deutschland außer Kraft tritt.</w:t>
      </w:r>
    </w:p>
    <w:p>
      <w:r>
        <w:t xml:space="preserve">(3) Der Tag des Inkrafttretens und des Außerkrafttretens ist im Bundesgesetzblatt bekanntzugeben.</w:t>
      </w:r>
    </w:p>
    <w:p>
      <w:r>
        <w:rPr>
          <w:color w:val="555555"/>
          <w:sz w:val="17"/>
        </w:rPr>
        <w:t xml:space="preserve">Zitiervorschlag: § 3 LuftFzgÜbkDV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https://recht.nulegal.eu/gesetze/LuftFzg%C3%9CbkDV/3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