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LuftFzgÜbkDV</w:t>
      </w:r>
    </w:p>
    <w:p>
      <w:r>
        <w:rPr>
          <w:color w:val="555555"/>
          <w:sz w:val="18"/>
        </w:rPr>
        <w:t xml:space="preserve">Verordnung zur Durchführung des Mehrseitigen Übereinkommens vom 22. April 1960 über Lufttüchtigkeitszeugnisse eingeführter Luftfahrzeuge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Lufttüchtigkeitszeugnisse eingeführter Luftfahrzeuge werden nach Artikel 2 Abs. 1 Buchstabe b des Übereinkommens durch Erteilung eines Lufttüchtigkeitszeugnisses der Bundesrepublik Deutschland anerkannt.</w:t>
      </w:r>
    </w:p>
    <w:p>
      <w:r>
        <w:rPr>
          <w:color w:val="555555"/>
          <w:sz w:val="17"/>
        </w:rPr>
        <w:t xml:space="preserve">Zitiervorschlag: § 2 LuftFzgÜbkDV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https://recht.nulegal.eu/gesetze/LuftFzg%C3%9CbkDV/2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