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LuftFzgÜbk</w:t>
      </w:r>
    </w:p>
    <w:p>
      <w:r>
        <w:rPr>
          <w:color w:val="555555"/>
          <w:sz w:val="18"/>
        </w:rPr>
        <w:t xml:space="preserve">Mehrseitiges Übereinkommen über Lufttüchtigkeitszeugnisse eingeführter Luftfahrzeuge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Vertragsstaat, in dessen Hoheitsgebiet ein Luftfahrzeug hergestellt und aus dem es in einen anderen Vertragsstaat ausgeführt wurde, der in der Folge dieses Luftfahrzeug gemäß Artikel 2 mit einem gültigen Lufttüchtigkeitszeugnis versieht,</w:t>
      </w:r>
    </w:p>
    <w:p>
      <w:pPr>
        <w:ind w:left="420"/>
      </w:pPr>
      <w:r>
        <w:t xml:space="preserve">a) teilt allen anderen Vertragsstaaten Einzelheiten der vorgeschriebenen Änderungen und Nachprüfungen des Luftfahrzeugs mit, die jeweils für das entsprechende Baumuster verbindlich sind und</w:t>
      </w:r>
    </w:p>
    <w:p>
      <w:pPr>
        <w:ind w:left="420"/>
      </w:pPr>
      <w:r>
        <w:t xml:space="preserve">b) übermittelt auf Ersuchen eines Vertragsstaates nach Möglichkeit Auskünfte und Stellungnahmen betreffend</w:t>
      </w:r>
    </w:p>
    <w:p>
      <w:pPr>
        <w:ind w:left="780"/>
      </w:pPr>
      <w:r>
        <w:t xml:space="preserve">i) die Bedingungen für die erstmalige Ausstellung des Lufttüchtigkeitszeugnisses für dieses Luftfahrzeug und</w:t>
      </w:r>
    </w:p>
    <w:p>
      <w:pPr>
        <w:ind w:left="780"/>
      </w:pPr>
      <w:r>
        <w:t xml:space="preserve">ii) größere Instandsetzungen, die nicht auf Grund der in dem Wartungshandbuch enthaltenen Instandsetzungsvorschriften für dieses Baumuster oder durch den Einbau von Ersatzteilen durchgeführt werden können.</w:t>
      </w:r>
    </w:p>
    <w:p>
      <w:r>
        <w:rPr>
          <w:color w:val="555555"/>
          <w:sz w:val="17"/>
        </w:rPr>
        <w:t xml:space="preserve">Zitiervorschlag: Art 8 LuftFzgÜbk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https://recht.nulegal.eu/gesetze/LuftFzg%C3%9Cbk/8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