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LuftEBV 2008</w:t>
      </w:r>
    </w:p>
    <w:p>
      <w:r>
        <w:rPr>
          <w:color w:val="555555"/>
          <w:sz w:val="18"/>
        </w:rPr>
        <w:t xml:space="preserve">Luftfahrzeug-Elektronik-Betriebs-Verordnung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1 Satz 1 Nr. 7a in Verbindung mit § 27 Abs. 3 Satz 2 des Luftverkehrsgesetzes in der Fassung der Bekanntmachung vom 10. Mai 2007 (BGBl. I S. 698)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LuftEBV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https://recht.nulegal.eu/gesetze/LuftEBV%202008/eingangsformel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