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LuftEBV 2008 — Hinweispflicht</w:t>
      </w:r>
    </w:p>
    <w:p>
      <w:r>
        <w:rPr>
          <w:color w:val="555555"/>
          <w:sz w:val="18"/>
        </w:rPr>
        <w:t xml:space="preserve">Luftfahrzeug-Elektronik-Betriebs-Verordnung</w:t>
      </w:r>
    </w:p>
    <w:p>
      <w:r>
        <w:rPr>
          <w:color w:val="555555"/>
          <w:sz w:val="18"/>
        </w:rPr>
        <w:t xml:space="preserve">Stand: 10.06.2019 (konsolidierte Textfassung, kein amtliches Inkrafttretensdatum)</w:t>
      </w:r>
    </w:p>
    <w:p>
      <w:r>
        <w:t xml:space="preserve">Spätestens vor dem Anlassen der Triebwerke, während des Abrollens zum Start und vor Beginn des Endanflugs sind die Fluggäste vom Luftfahrzeughalter oder von der Luftfahrzeugbesatzung in geeigneter Weise über die für elektronische Geräte geltenden Betriebseinschränkungen und Verbote zu unterrichten.</w:t>
      </w:r>
    </w:p>
    <w:p>
      <w:r>
        <w:rPr>
          <w:color w:val="555555"/>
          <w:sz w:val="17"/>
        </w:rPr>
        <w:t xml:space="preserve">Zitiervorschlag: § 4 LuftEBV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https://recht.nulegal.eu/gesetze/LuftEBV%202008/4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