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LuftEBV 2008 — Befugnisse des verantwortlichen Luftfahrzeugführers</w:t>
      </w:r>
    </w:p>
    <w:p>
      <w:r>
        <w:rPr>
          <w:color w:val="555555"/>
          <w:sz w:val="18"/>
        </w:rPr>
        <w:t xml:space="preserve">Luftfahrzeug-Elektronik-Betriebs-Verordnung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Befugnisse des verantwortlichen Luftfahrzeugführers gemäß § 12 des Luftsicherheitsgesetzes bleiben unberührt.</w:t>
      </w:r>
    </w:p>
    <w:p>
      <w:r>
        <w:rPr>
          <w:color w:val="555555"/>
          <w:sz w:val="17"/>
        </w:rPr>
        <w:t xml:space="preserve">Zitiervorschlag: § 3 LuftEBV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https://recht.nulegal.eu/gesetze/LuftEBV%202008/3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