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LuftEBV 2008 — Weitergehende Freistellungen</w:t>
      </w:r>
    </w:p>
    <w:p>
      <w:r>
        <w:rPr>
          <w:color w:val="555555"/>
          <w:sz w:val="18"/>
        </w:rPr>
        <w:t xml:space="preserve">Luftfahrzeug-Elektronik-Betriebs-Verordnung</w:t>
      </w:r>
    </w:p>
    <w:p>
      <w:r>
        <w:rPr>
          <w:color w:val="555555"/>
          <w:sz w:val="18"/>
        </w:rPr>
        <w:t xml:space="preserve">Stand: 10.06.2019 (konsolidierte Textfassung, kein amtliches Inkrafttretensdatum)</w:t>
      </w:r>
    </w:p>
    <w:p>
      <w:r>
        <w:t xml:space="preserve">(1) Der Luftfahrzeughalter kann von den Beschränkungen des § 1 Abs. 1 Nr. 4 zweiter Halbsatz Befreiungen erteilen sowie den Betrieb von elektronischen Geräten mit Sendefunktion allgemein oder im Einzelfall über § 1 Abs. 1 Nr. 5 hinausgehend zulassen, wenn der Luftfahrzeughersteller oder ein Entwicklungsbetrieb dem Luftfahrzeughalter die Verträglichkeit der unter § 1 Abs. 1 Nr. 4 und 5 genannten Geräte mit der Bordelektronik unter Berücksichtigung der verwendeten Frequenzen und Sendeleistungen nachgewiesen hat. Der Luftfahrzeughalter hat den verantwortlichen Luftfahrzeugführer vor Antritt des Fluges über Inhalt und Umfang der Befreiung oder Zulassung zu unterrichten.</w:t>
      </w:r>
    </w:p>
    <w:p>
      <w:r>
        <w:t xml:space="preserve">(2) Bei Luftfahrzeugen mit weniger als 5,7 Tonnen Höchstabflugmasse, die nicht in einem Luftfahrtunternehmen betrieben werden, kann auch der verantwortliche Luftfahrzeugführer von den Beschränkungen des § 1 Abs. 1 Nr. 4 zweiter Halbsatz Befreiungen erteilen sowie den Betrieb von Geräten mit Sendefunktion im Einzelfall über § 1 Abs. 1 Nr. 5 hinausgehend zulassen, wenn in mindestens einem Bodenversuch nachgewiesen worden ist, dass in dem eingesetzten Luftfahrzeug eine Störung der Bordelektronik durch den Betrieb des betreffenden Geräts nicht auftritt. Als derartige Störung ist jede Beeinflussung anzusehen, die zu Verfälschungen oder Ausfällen von Anzeigen, Kommunikationseinrichtungen, Kontroll- oder Steuersignalen des Luftfahrzeuges führt.</w:t>
      </w:r>
    </w:p>
    <w:p>
      <w:r>
        <w:rPr>
          <w:color w:val="555555"/>
          <w:sz w:val="17"/>
        </w:rPr>
        <w:t xml:space="preserve">Zitiervorschlag: § 2 LuftEBV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https://recht.nulegal.eu/gesetze/LuftEBV%202008/2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