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LuftBODV 4</w:t>
      </w:r>
    </w:p>
    <w:p>
      <w:r>
        <w:rPr>
          <w:color w:val="555555"/>
          <w:sz w:val="18"/>
        </w:rPr>
        <w:t xml:space="preserve">Vierte Durchführungsverordnung zur Betriebsordnung für Luftfahrtgerät (Ausrüstung und Betrieb von Heißluftballonen und Heißluft-Luftschiffen)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32 Abs. 1 Satz 1 Nr. 1 und Abs. 3 des Luftverkehrsgesetzes in der Fassung der Bekanntmachung vom 14. Januar 1981 (BGBl. I S. 61), der zuletzt durch Artikel 4 Nr. 6 des Gesetzes vom 17. Dezember 1993 (BGBl. I S. 2123) geändert worden ist, in Verbindung mit § 56 der Betriebsordnung für Luftfahrtgerät vom 4. März 1970 (BGBl. I S. 262) verordnet das Luftfahrt-Bundesamt:</w:t>
      </w:r>
    </w:p>
    <w:p>
      <w:r>
        <w:rPr>
          <w:color w:val="555555"/>
          <w:sz w:val="17"/>
        </w:rPr>
        <w:t xml:space="preserve">Zitiervorschlag: Eingangsformel LuftBODV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https://recht.nulegal.eu/gesetze/LuftBODV%204/eingangsformel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