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LuftBODV 4 — Wägung (zu § 10 LuftBO)</w:t>
      </w:r>
    </w:p>
    <w:p>
      <w:r>
        <w:rPr>
          <w:color w:val="555555"/>
          <w:sz w:val="18"/>
        </w:rPr>
        <w:t xml:space="preserve">Vierte Durchführungsverordnung zur Betriebsordnung für Luftfahrtgerät (Ausrüstung und Betrieb von Heißluftballonen und Heißluft-Luftschiffen)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Wägung eines Ballons oder Luftschiffs ist durchzuführen</w:t>
      </w:r>
    </w:p>
    <w:p>
      <w:pPr>
        <w:ind w:left="420"/>
      </w:pPr>
      <w:r>
        <w:t xml:space="preserve">1. in Verbindung mit der ersten Nachprüfung zum Zweck der Verkehrszulassung</w:t>
      </w:r>
    </w:p>
    <w:p>
      <w:pPr>
        <w:ind w:left="420"/>
      </w:pPr>
      <w:r>
        <w:t xml:space="preserve">2. in den Fällen, in denen der Hersteller eine Wägung vorschreibt.</w:t>
      </w:r>
    </w:p>
    <w:p>
      <w:r>
        <w:t xml:space="preserve">Wenn die Masse verändert worden ist und die Daten rechnerisch mit hinreichender Genauigkeit festgestellt werden können, kann eine Wägung entfallen.</w:t>
      </w:r>
    </w:p>
    <w:p>
      <w:pPr>
        <w:ind w:left="420"/>
      </w:pPr>
      <w:r>
        <w:t xml:space="preserve">1. nach einer Grund- oder Teilüberholung,</w:t>
      </w:r>
    </w:p>
    <w:p>
      <w:pPr>
        <w:ind w:left="420"/>
      </w:pPr>
      <w:r>
        <w:t xml:space="preserve">2. nach einer großen Änderung oder großen Reparatur.</w:t>
      </w:r>
    </w:p>
    <w:p>
      <w:r>
        <w:rPr>
          <w:color w:val="555555"/>
          <w:sz w:val="17"/>
        </w:rPr>
        <w:t xml:space="preserve">Zitiervorschlag: § 6a LuftBODV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https://recht.nulegal.eu/gesetze/LuftBODV%204/6a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