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LuftBODV 4 — Begriffsbestimmungen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Heißluftballone und Heißluft-Luftschiffe werden nachstehend als Ballone und als Luftschiffe bezeichnet.</w:t>
      </w:r>
    </w:p>
    <w:p>
      <w:r>
        <w:t xml:space="preserve">(2) Betriebsstoffe sind alle nach Betriebsanweisung erforderlichen Mittel wie Brenngas, Kraftstoff sowie gegebenenfalls weitere erforderliche Mittel.</w:t>
      </w:r>
    </w:p>
    <w:p>
      <w:r>
        <w:t xml:space="preserve">(3) Als unmittelbare Nähe zum Start- und Landeplatz wird ein horizontaler Abstand von 500 Meter angesehen.</w:t>
      </w:r>
    </w:p>
    <w:p>
      <w:r>
        <w:rPr>
          <w:color w:val="555555"/>
          <w:sz w:val="17"/>
        </w:rPr>
        <w:t xml:space="preserve">Zitiervorschlag: § 1a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