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LuftBODV 4 — Unterweisung der Fluggäste (zu § 52 LuftBO)</w:t>
      </w:r>
    </w:p>
    <w:p>
      <w:r>
        <w:rPr>
          <w:color w:val="555555"/>
          <w:sz w:val="18"/>
        </w:rPr>
        <w:t xml:space="preserve">Vierte Durchführungsverordnung zur Betriebsordnung für Luftfahrtgerät (Ausrüstung und Betrieb von Heißluftballonen und Heißluft-Luftschiffen)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verantwortliche Luftfahrzeugführer muß sicherstellen, daß die Fluggäste mit der Unterbringung und dem Gebrauch der Sicherheits- und Rettungsausrüstung vertraut gemacht werden.</w:t>
      </w:r>
    </w:p>
    <w:p>
      <w:r>
        <w:rPr>
          <w:color w:val="555555"/>
          <w:sz w:val="17"/>
        </w:rPr>
        <w:t xml:space="preserve">Zitiervorschlag: § 16 LuftBODV 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https://recht.nulegal.eu/gesetze/LuftBODV%204/16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